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val="0"/>
        <w:spacing w:line="336" w:lineRule="auto"/>
        <w:jc w:val="center"/>
        <w:textAlignment w:val="auto"/>
        <w:rPr>
          <w:rFonts w:hint="eastAsia" w:asciiTheme="minorEastAsia" w:hAnsiTheme="minorEastAsia" w:eastAsiaTheme="minorEastAsia" w:cstheme="minorEastAsia"/>
          <w:sz w:val="32"/>
          <w:szCs w:val="32"/>
          <w:lang w:val="en-US" w:eastAsia="zh-CN"/>
        </w:rPr>
      </w:pPr>
    </w:p>
    <w:p>
      <w:pPr>
        <w:keepNext w:val="0"/>
        <w:keepLines w:val="0"/>
        <w:pageBreakBefore w:val="0"/>
        <w:kinsoku/>
        <w:wordWrap/>
        <w:overflowPunct/>
        <w:topLinePunct w:val="0"/>
        <w:autoSpaceDE/>
        <w:autoSpaceDN/>
        <w:bidi w:val="0"/>
        <w:snapToGrid w:val="0"/>
        <w:spacing w:line="336" w:lineRule="auto"/>
        <w:jc w:val="both"/>
        <w:textAlignment w:val="auto"/>
        <w:rPr>
          <w:rFonts w:hint="eastAsia" w:asciiTheme="minorEastAsia" w:hAnsiTheme="minorEastAsia" w:eastAsiaTheme="minorEastAsia" w:cstheme="minorEastAsia"/>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336" w:lineRule="auto"/>
        <w:ind w:left="0"/>
        <w:jc w:val="center"/>
        <w:textAlignment w:val="auto"/>
        <w:rPr>
          <w:rFonts w:hint="eastAsia" w:ascii="宋体" w:hAnsi="宋体" w:eastAsia="宋体" w:cs="宋体"/>
          <w:bCs/>
          <w:sz w:val="44"/>
          <w:szCs w:val="44"/>
        </w:rPr>
      </w:pPr>
      <w:r>
        <w:rPr>
          <w:rFonts w:hint="eastAsia" w:ascii="宋体" w:hAnsi="宋体" w:eastAsia="宋体" w:cs="宋体"/>
          <w:bCs/>
          <w:sz w:val="44"/>
          <w:szCs w:val="44"/>
        </w:rPr>
        <w:t>民用核安全设备焊接人员资格管理规定</w:t>
      </w:r>
    </w:p>
    <w:p>
      <w:pPr>
        <w:keepNext w:val="0"/>
        <w:keepLines w:val="0"/>
        <w:pageBreakBefore w:val="0"/>
        <w:widowControl/>
        <w:kinsoku/>
        <w:wordWrap/>
        <w:overflowPunct/>
        <w:topLinePunct w:val="0"/>
        <w:autoSpaceDE/>
        <w:autoSpaceDN/>
        <w:bidi w:val="0"/>
        <w:adjustRightInd w:val="0"/>
        <w:snapToGrid w:val="0"/>
        <w:spacing w:line="336" w:lineRule="auto"/>
        <w:ind w:left="0" w:firstLine="640" w:firstLineChars="200"/>
        <w:jc w:val="left"/>
        <w:textAlignment w:val="auto"/>
        <w:rPr>
          <w:rFonts w:hint="eastAsia" w:ascii="楷体_GB2312" w:hAnsi="楷体_GB2312" w:eastAsia="楷体_GB2312" w:cs="楷体_GB2312"/>
          <w:bCs/>
          <w:sz w:val="32"/>
          <w:szCs w:val="32"/>
          <w:lang w:eastAsia="zh-CN"/>
        </w:rPr>
      </w:pPr>
      <w:r>
        <w:rPr>
          <w:rFonts w:hint="eastAsia" w:ascii="楷体_GB2312" w:hAnsi="楷体_GB2312" w:eastAsia="楷体_GB2312" w:cs="楷体_GB2312"/>
          <w:bCs/>
          <w:sz w:val="32"/>
          <w:szCs w:val="32"/>
          <w:lang w:eastAsia="zh-CN"/>
        </w:rPr>
        <w:t>（</w:t>
      </w:r>
      <w:r>
        <w:rPr>
          <w:rFonts w:hint="eastAsia" w:ascii="楷体_GB2312" w:hAnsi="楷体_GB2312" w:eastAsia="楷体_GB2312" w:cs="楷体_GB2312"/>
          <w:sz w:val="32"/>
          <w:szCs w:val="32"/>
        </w:rPr>
        <w:t>2019年6月12日生态环境部令第5号公布</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自2020年1月1日起施行</w:t>
      </w:r>
      <w:r>
        <w:rPr>
          <w:rFonts w:hint="eastAsia" w:ascii="楷体_GB2312" w:hAnsi="楷体_GB2312" w:eastAsia="楷体_GB2312" w:cs="楷体_GB2312"/>
          <w:bCs/>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336" w:lineRule="auto"/>
        <w:ind w:left="0" w:firstLine="640" w:firstLineChars="200"/>
        <w:jc w:val="left"/>
        <w:textAlignment w:val="auto"/>
        <w:rPr>
          <w:rFonts w:hint="eastAsia" w:ascii="楷体_GB2312" w:hAnsi="楷体_GB2312" w:eastAsia="楷体_GB2312" w:cs="楷体_GB2312"/>
          <w:bCs/>
          <w:sz w:val="32"/>
          <w:szCs w:val="32"/>
          <w:lang w:eastAsia="zh-CN"/>
        </w:rPr>
      </w:pPr>
    </w:p>
    <w:p>
      <w:pPr>
        <w:keepNext w:val="0"/>
        <w:keepLines w:val="0"/>
        <w:pageBreakBefore w:val="0"/>
        <w:numPr>
          <w:ilvl w:val="0"/>
          <w:numId w:val="1"/>
        </w:numPr>
        <w:kinsoku/>
        <w:wordWrap/>
        <w:overflowPunct/>
        <w:topLinePunct w:val="0"/>
        <w:autoSpaceDE/>
        <w:autoSpaceDN/>
        <w:bidi w:val="0"/>
        <w:adjustRightInd w:val="0"/>
        <w:snapToGrid w:val="0"/>
        <w:spacing w:line="336" w:lineRule="auto"/>
        <w:ind w:left="0"/>
        <w:jc w:val="center"/>
        <w:textAlignment w:val="auto"/>
        <w:rPr>
          <w:rFonts w:hint="eastAsia" w:ascii="黑体" w:hAnsi="黑体" w:eastAsia="黑体"/>
          <w:sz w:val="32"/>
          <w:szCs w:val="32"/>
        </w:rPr>
      </w:pPr>
      <w:r>
        <w:rPr>
          <w:rFonts w:hint="eastAsia" w:ascii="黑体" w:hAnsi="黑体" w:eastAsia="黑体"/>
          <w:sz w:val="32"/>
          <w:szCs w:val="32"/>
        </w:rPr>
        <w:t xml:space="preserve"> 总  则</w:t>
      </w:r>
    </w:p>
    <w:p>
      <w:pPr>
        <w:keepNext w:val="0"/>
        <w:keepLines w:val="0"/>
        <w:pageBreakBefore w:val="0"/>
        <w:numPr>
          <w:numId w:val="0"/>
        </w:numPr>
        <w:kinsoku/>
        <w:wordWrap/>
        <w:overflowPunct/>
        <w:topLinePunct w:val="0"/>
        <w:autoSpaceDE/>
        <w:autoSpaceDN/>
        <w:bidi w:val="0"/>
        <w:adjustRightInd w:val="0"/>
        <w:snapToGrid w:val="0"/>
        <w:spacing w:line="336" w:lineRule="auto"/>
        <w:jc w:val="both"/>
        <w:textAlignment w:val="auto"/>
        <w:rPr>
          <w:rFonts w:hint="eastAsia" w:ascii="黑体" w:hAnsi="黑体" w:eastAsia="黑体"/>
          <w:sz w:val="32"/>
          <w:szCs w:val="32"/>
        </w:rPr>
      </w:pP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黑体" w:hAnsi="黑体" w:eastAsia="黑体"/>
          <w:bCs/>
          <w:sz w:val="32"/>
          <w:szCs w:val="32"/>
        </w:rPr>
        <w:t>第一条</w:t>
      </w:r>
      <w:r>
        <w:rPr>
          <w:rFonts w:hint="eastAsia" w:ascii="仿宋_GB2312" w:hAnsi="仿宋" w:eastAsia="仿宋_GB2312"/>
          <w:b/>
          <w:bCs/>
          <w:sz w:val="32"/>
          <w:szCs w:val="32"/>
        </w:rPr>
        <w:t xml:space="preserve">  </w:t>
      </w:r>
      <w:r>
        <w:rPr>
          <w:rFonts w:hint="eastAsia" w:ascii="仿宋_GB2312" w:hAnsi="仿宋" w:eastAsia="仿宋_GB2312"/>
          <w:sz w:val="32"/>
          <w:szCs w:val="32"/>
        </w:rPr>
        <w:t>为了加强民用核安全设备焊接人员（以下简称焊接人员）的资格管理，保证民用核安全设备质量，根据《中华人民共和国核安全法》和《民用核安全设备监督管理条例》，制定本规定。</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黑体" w:hAnsi="黑体" w:eastAsia="黑体"/>
          <w:bCs/>
          <w:sz w:val="32"/>
          <w:szCs w:val="32"/>
        </w:rPr>
        <w:t xml:space="preserve">第二条 </w:t>
      </w:r>
      <w:r>
        <w:rPr>
          <w:rFonts w:hint="eastAsia" w:ascii="仿宋_GB2312" w:hAnsi="仿宋" w:eastAsia="仿宋_GB2312"/>
          <w:b/>
          <w:bCs/>
          <w:sz w:val="32"/>
          <w:szCs w:val="32"/>
        </w:rPr>
        <w:t xml:space="preserve"> </w:t>
      </w:r>
      <w:r>
        <w:rPr>
          <w:rFonts w:hint="eastAsia" w:ascii="仿宋_GB2312" w:hAnsi="仿宋" w:eastAsia="仿宋_GB2312"/>
          <w:sz w:val="32"/>
          <w:szCs w:val="32"/>
        </w:rPr>
        <w:t>本规定适用于</w:t>
      </w:r>
      <w:r>
        <w:rPr>
          <w:rFonts w:hint="eastAsia" w:ascii="仿宋_GB2312" w:hAnsi="仿宋" w:eastAsia="仿宋_GB2312"/>
          <w:bCs/>
          <w:sz w:val="32"/>
          <w:szCs w:val="32"/>
        </w:rPr>
        <w:t>焊接</w:t>
      </w:r>
      <w:r>
        <w:rPr>
          <w:rFonts w:hint="eastAsia" w:ascii="仿宋_GB2312" w:hAnsi="仿宋" w:eastAsia="仿宋_GB2312"/>
          <w:sz w:val="32"/>
          <w:szCs w:val="32"/>
        </w:rPr>
        <w:t>人员的资格考核和管理工作。</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黑体" w:hAnsi="黑体" w:eastAsia="黑体"/>
          <w:bCs/>
          <w:sz w:val="32"/>
          <w:szCs w:val="32"/>
        </w:rPr>
        <w:t xml:space="preserve">第三条 </w:t>
      </w:r>
      <w:r>
        <w:rPr>
          <w:rFonts w:hint="eastAsia" w:ascii="仿宋_GB2312" w:hAnsi="仿宋" w:eastAsia="仿宋_GB2312"/>
          <w:b/>
          <w:bCs/>
          <w:sz w:val="32"/>
          <w:szCs w:val="32"/>
        </w:rPr>
        <w:t xml:space="preserve"> </w:t>
      </w:r>
      <w:r>
        <w:rPr>
          <w:rFonts w:hint="eastAsia" w:ascii="仿宋_GB2312" w:hAnsi="仿宋" w:eastAsia="仿宋_GB2312"/>
          <w:bCs/>
          <w:sz w:val="32"/>
          <w:szCs w:val="32"/>
        </w:rPr>
        <w:t>从事民用核安全设备焊接活动（以下简称焊接活动）的</w:t>
      </w:r>
      <w:r>
        <w:rPr>
          <w:rFonts w:hint="eastAsia" w:ascii="仿宋_GB2312" w:hAnsi="仿宋" w:eastAsia="仿宋_GB2312"/>
          <w:sz w:val="32"/>
          <w:szCs w:val="32"/>
        </w:rPr>
        <w:t>人员应当依据本规定</w:t>
      </w:r>
      <w:r>
        <w:rPr>
          <w:rFonts w:hint="eastAsia" w:ascii="仿宋_GB2312" w:hAnsi="仿宋" w:eastAsia="仿宋_GB2312"/>
          <w:bCs/>
          <w:sz w:val="32"/>
          <w:szCs w:val="32"/>
        </w:rPr>
        <w:t>取得资格证书。</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b/>
          <w:bCs/>
          <w:sz w:val="32"/>
          <w:szCs w:val="32"/>
        </w:rPr>
      </w:pPr>
      <w:r>
        <w:rPr>
          <w:rFonts w:hint="eastAsia" w:ascii="黑体" w:hAnsi="黑体" w:eastAsia="黑体"/>
          <w:bCs/>
          <w:sz w:val="32"/>
          <w:szCs w:val="32"/>
        </w:rPr>
        <w:t xml:space="preserve">第四条 </w:t>
      </w:r>
      <w:r>
        <w:rPr>
          <w:rFonts w:hint="eastAsia" w:ascii="仿宋_GB2312" w:hAnsi="仿宋" w:eastAsia="仿宋_GB2312"/>
          <w:b/>
          <w:bCs/>
          <w:sz w:val="32"/>
          <w:szCs w:val="32"/>
        </w:rPr>
        <w:t xml:space="preserve"> </w:t>
      </w:r>
      <w:r>
        <w:rPr>
          <w:rFonts w:hint="eastAsia" w:ascii="仿宋_GB2312" w:hAnsi="仿宋" w:eastAsia="仿宋_GB2312"/>
          <w:sz w:val="32"/>
          <w:szCs w:val="32"/>
        </w:rPr>
        <w:t>国务院核安全监管部门负责焊接人员的资格管理，统一组织资格考核，颁发资格证书，对焊接人员资格及相关资格考核活动进行监督检查。</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黑体" w:hAnsi="黑体" w:eastAsia="黑体"/>
          <w:bCs/>
          <w:sz w:val="32"/>
          <w:szCs w:val="32"/>
        </w:rPr>
        <w:t xml:space="preserve">第五条 </w:t>
      </w:r>
      <w:r>
        <w:rPr>
          <w:rFonts w:hint="eastAsia" w:ascii="仿宋_GB2312" w:hAnsi="仿宋" w:eastAsia="仿宋_GB2312"/>
          <w:sz w:val="32"/>
          <w:szCs w:val="32"/>
        </w:rPr>
        <w:t xml:space="preserve"> 民用核安全设备制造、安装单位和民用核设施营运单位（以下简称聘用单位）应当聘用取得资格证书的人员开展焊接活动，对焊接人员进行岗位管理。</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黑体" w:hAnsi="黑体" w:eastAsia="黑体"/>
          <w:bCs/>
          <w:sz w:val="32"/>
          <w:szCs w:val="32"/>
        </w:rPr>
        <w:t xml:space="preserve">第六条 </w:t>
      </w:r>
      <w:r>
        <w:rPr>
          <w:rFonts w:hint="eastAsia" w:ascii="仿宋_GB2312" w:hAnsi="仿宋" w:eastAsia="仿宋_GB2312"/>
          <w:b/>
          <w:bCs/>
          <w:sz w:val="32"/>
          <w:szCs w:val="32"/>
        </w:rPr>
        <w:t xml:space="preserve"> </w:t>
      </w:r>
      <w:r>
        <w:rPr>
          <w:rFonts w:hint="eastAsia" w:ascii="仿宋_GB2312" w:hAnsi="仿宋" w:eastAsia="仿宋_GB2312"/>
          <w:bCs/>
          <w:sz w:val="32"/>
          <w:szCs w:val="32"/>
        </w:rPr>
        <w:t>本规定所称的焊接人员是指从事民用核安全设备焊接操作的</w:t>
      </w:r>
      <w:r>
        <w:rPr>
          <w:rFonts w:hint="eastAsia" w:ascii="仿宋_GB2312" w:hAnsi="仿宋" w:eastAsia="仿宋_GB2312"/>
          <w:sz w:val="32"/>
          <w:szCs w:val="32"/>
        </w:rPr>
        <w:t>焊工、焊接操作工；焊接方法是指</w:t>
      </w:r>
      <w:r>
        <w:rPr>
          <w:rFonts w:hint="eastAsia" w:ascii="仿宋_GB2312" w:hAnsi="仿宋" w:eastAsia="仿宋_GB2312"/>
          <w:bCs/>
          <w:sz w:val="32"/>
          <w:szCs w:val="32"/>
        </w:rPr>
        <w:t>焊接活动</w:t>
      </w:r>
      <w:r>
        <w:rPr>
          <w:rFonts w:hint="eastAsia" w:ascii="仿宋_GB2312" w:hAnsi="仿宋" w:eastAsia="仿宋_GB2312"/>
          <w:sz w:val="32"/>
          <w:szCs w:val="32"/>
        </w:rPr>
        <w:t>中的电弧焊（包括焊条电弧焊、钨极惰性气体保护电弧焊、熔化极气体保护电弧焊、埋弧焊等）和高能束焊（包括电子束焊、激光焊等）以及国务院核安全监管部门认可的其他焊接方法。</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p>
    <w:p>
      <w:pPr>
        <w:keepNext w:val="0"/>
        <w:keepLines w:val="0"/>
        <w:pageBreakBefore w:val="0"/>
        <w:numPr>
          <w:ilvl w:val="0"/>
          <w:numId w:val="1"/>
        </w:numPr>
        <w:kinsoku/>
        <w:wordWrap/>
        <w:overflowPunct/>
        <w:topLinePunct w:val="0"/>
        <w:autoSpaceDE/>
        <w:autoSpaceDN/>
        <w:bidi w:val="0"/>
        <w:adjustRightInd w:val="0"/>
        <w:snapToGrid w:val="0"/>
        <w:spacing w:line="336" w:lineRule="auto"/>
        <w:ind w:left="0" w:leftChars="0" w:firstLine="0" w:firstLineChars="0"/>
        <w:jc w:val="center"/>
        <w:textAlignment w:val="auto"/>
        <w:rPr>
          <w:rFonts w:hint="eastAsia" w:ascii="黑体" w:hAnsi="黑体" w:eastAsia="黑体"/>
          <w:sz w:val="32"/>
          <w:szCs w:val="32"/>
        </w:rPr>
      </w:pPr>
      <w:r>
        <w:rPr>
          <w:rFonts w:hint="eastAsia" w:ascii="黑体" w:hAnsi="黑体" w:eastAsia="黑体"/>
          <w:sz w:val="32"/>
          <w:szCs w:val="32"/>
        </w:rPr>
        <w:t xml:space="preserve"> 证书申请与颁发</w:t>
      </w:r>
    </w:p>
    <w:p>
      <w:pPr>
        <w:keepNext w:val="0"/>
        <w:keepLines w:val="0"/>
        <w:pageBreakBefore w:val="0"/>
        <w:numPr>
          <w:numId w:val="0"/>
        </w:numPr>
        <w:kinsoku/>
        <w:wordWrap/>
        <w:overflowPunct/>
        <w:topLinePunct w:val="0"/>
        <w:autoSpaceDE/>
        <w:autoSpaceDN/>
        <w:bidi w:val="0"/>
        <w:adjustRightInd w:val="0"/>
        <w:snapToGrid w:val="0"/>
        <w:spacing w:line="336" w:lineRule="auto"/>
        <w:ind w:leftChars="0"/>
        <w:jc w:val="both"/>
        <w:textAlignment w:val="auto"/>
        <w:rPr>
          <w:rFonts w:hint="eastAsia" w:ascii="黑体" w:hAnsi="黑体" w:eastAsia="黑体"/>
          <w:sz w:val="32"/>
          <w:szCs w:val="32"/>
        </w:rPr>
      </w:pP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黑体" w:hAnsi="黑体" w:eastAsia="黑体"/>
          <w:sz w:val="32"/>
          <w:szCs w:val="32"/>
        </w:rPr>
        <w:t xml:space="preserve">第七条 </w:t>
      </w:r>
      <w:r>
        <w:rPr>
          <w:rFonts w:hint="eastAsia" w:ascii="仿宋_GB2312" w:hAnsi="仿宋" w:eastAsia="仿宋_GB2312"/>
          <w:b/>
          <w:bCs/>
          <w:sz w:val="32"/>
          <w:szCs w:val="32"/>
        </w:rPr>
        <w:t xml:space="preserve"> </w:t>
      </w:r>
      <w:r>
        <w:rPr>
          <w:rFonts w:hint="eastAsia" w:ascii="仿宋_GB2312" w:hAnsi="仿宋" w:eastAsia="仿宋_GB2312"/>
          <w:sz w:val="32"/>
          <w:szCs w:val="32"/>
        </w:rPr>
        <w:t>申请《</w:t>
      </w:r>
      <w:r>
        <w:rPr>
          <w:rFonts w:hint="eastAsia" w:ascii="仿宋_GB2312" w:hAnsi="仿宋" w:eastAsia="仿宋_GB2312"/>
          <w:bCs/>
          <w:sz w:val="32"/>
          <w:szCs w:val="32"/>
        </w:rPr>
        <w:t>民用核安全设备</w:t>
      </w:r>
      <w:r>
        <w:rPr>
          <w:rFonts w:hint="eastAsia" w:ascii="仿宋_GB2312" w:hAnsi="仿宋" w:eastAsia="仿宋_GB2312"/>
          <w:sz w:val="32"/>
          <w:szCs w:val="32"/>
        </w:rPr>
        <w:t>焊接人员资格证》资格考核的人员应当具备下列条件：</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（一）身体健康，裸视或者矫正视力达到4.8及以上，辨色视力正常；</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（二）中等职业教育或者高中及以上学历，工作满1年；</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（三）熟练的焊接操作技能。</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b/>
          <w:sz w:val="32"/>
          <w:szCs w:val="32"/>
        </w:rPr>
      </w:pPr>
      <w:r>
        <w:rPr>
          <w:rFonts w:hint="eastAsia" w:ascii="黑体" w:hAnsi="黑体" w:eastAsia="黑体"/>
          <w:sz w:val="32"/>
          <w:szCs w:val="32"/>
        </w:rPr>
        <w:t xml:space="preserve">第八条 </w:t>
      </w:r>
      <w:r>
        <w:rPr>
          <w:rFonts w:hint="eastAsia" w:ascii="仿宋_GB2312" w:hAnsi="仿宋" w:eastAsia="仿宋_GB2312"/>
          <w:b/>
          <w:sz w:val="32"/>
          <w:szCs w:val="32"/>
        </w:rPr>
        <w:t xml:space="preserve"> </w:t>
      </w:r>
      <w:r>
        <w:rPr>
          <w:rFonts w:hint="eastAsia" w:ascii="仿宋_GB2312" w:hAnsi="仿宋" w:eastAsia="仿宋_GB2312"/>
          <w:sz w:val="32"/>
          <w:szCs w:val="32"/>
        </w:rPr>
        <w:t>有下列情形之一的人员，不得申请《</w:t>
      </w:r>
      <w:r>
        <w:rPr>
          <w:rFonts w:hint="eastAsia" w:ascii="仿宋_GB2312" w:hAnsi="仿宋" w:eastAsia="仿宋_GB2312"/>
          <w:bCs/>
          <w:sz w:val="32"/>
          <w:szCs w:val="32"/>
        </w:rPr>
        <w:t>民用核安全设备</w:t>
      </w:r>
      <w:r>
        <w:rPr>
          <w:rFonts w:hint="eastAsia" w:ascii="仿宋_GB2312" w:hAnsi="仿宋" w:eastAsia="仿宋_GB2312"/>
          <w:sz w:val="32"/>
          <w:szCs w:val="32"/>
        </w:rPr>
        <w:t>焊接人员资格证》资格考核：</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b/>
          <w:sz w:val="32"/>
          <w:szCs w:val="32"/>
        </w:rPr>
      </w:pPr>
      <w:r>
        <w:rPr>
          <w:rFonts w:hint="eastAsia" w:ascii="仿宋_GB2312" w:hAnsi="仿宋" w:eastAsia="仿宋_GB2312"/>
          <w:sz w:val="32"/>
          <w:szCs w:val="32"/>
        </w:rPr>
        <w:t>（一）被吊销资格证书的人员，自证书吊销之日起未满3年的；</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（二）依照本规定被给予不得申请资格考核处理的期限未满的。</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bCs/>
          <w:sz w:val="32"/>
          <w:szCs w:val="32"/>
        </w:rPr>
      </w:pPr>
      <w:r>
        <w:rPr>
          <w:rFonts w:hint="eastAsia" w:ascii="黑体" w:hAnsi="黑体" w:eastAsia="黑体"/>
          <w:sz w:val="32"/>
          <w:szCs w:val="32"/>
        </w:rPr>
        <w:t xml:space="preserve">第九条 </w:t>
      </w:r>
      <w:r>
        <w:rPr>
          <w:rFonts w:hint="eastAsia" w:ascii="仿宋_GB2312" w:hAnsi="仿宋" w:eastAsia="仿宋_GB2312"/>
          <w:b/>
          <w:bCs/>
          <w:sz w:val="32"/>
          <w:szCs w:val="32"/>
        </w:rPr>
        <w:t xml:space="preserve"> </w:t>
      </w:r>
      <w:r>
        <w:rPr>
          <w:rFonts w:hint="eastAsia" w:ascii="仿宋_GB2312" w:hAnsi="仿宋" w:eastAsia="仿宋_GB2312"/>
          <w:bCs/>
          <w:sz w:val="32"/>
          <w:szCs w:val="32"/>
        </w:rPr>
        <w:t>国务院核安全监管部门制定考试计划，组织承担考核工作的单位（以下简称考核单位）实施资格考核。</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bCs/>
          <w:sz w:val="32"/>
          <w:szCs w:val="32"/>
        </w:rPr>
      </w:pPr>
      <w:r>
        <w:rPr>
          <w:rFonts w:hint="eastAsia" w:ascii="仿宋_GB2312" w:hAnsi="仿宋" w:eastAsia="仿宋_GB2312"/>
          <w:bCs/>
          <w:sz w:val="32"/>
          <w:szCs w:val="32"/>
        </w:rPr>
        <w:t>考核单位负责编制考试用焊接工艺规程，实施具体考试工作，检验考试试件，出具考试结果报告。</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黑体" w:hAnsi="黑体" w:eastAsia="黑体"/>
          <w:sz w:val="32"/>
          <w:szCs w:val="32"/>
        </w:rPr>
        <w:t>第十条</w:t>
      </w:r>
      <w:r>
        <w:rPr>
          <w:rFonts w:hint="eastAsia" w:ascii="仿宋_GB2312" w:hAnsi="仿宋" w:eastAsia="仿宋_GB2312"/>
          <w:b/>
          <w:bCs/>
          <w:sz w:val="32"/>
          <w:szCs w:val="32"/>
        </w:rPr>
        <w:t xml:space="preserve">  </w:t>
      </w:r>
      <w:r>
        <w:rPr>
          <w:rFonts w:hint="eastAsia" w:ascii="仿宋_GB2312" w:hAnsi="仿宋" w:eastAsia="仿宋_GB2312"/>
          <w:sz w:val="32"/>
          <w:szCs w:val="32"/>
        </w:rPr>
        <w:t>申请人员由聘用单位组织报名参加资格考核，并提交下列材料：</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（一）申请表；</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（二）学历证明；</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（三）二级及以上医院出具的视力检查结果。</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黑体" w:hAnsi="黑体" w:eastAsia="黑体"/>
          <w:sz w:val="32"/>
          <w:szCs w:val="32"/>
        </w:rPr>
        <w:t>第十一条</w:t>
      </w:r>
      <w:r>
        <w:rPr>
          <w:rFonts w:hint="eastAsia" w:ascii="仿宋_GB2312" w:hAnsi="仿宋" w:eastAsia="仿宋_GB2312"/>
          <w:b/>
          <w:bCs/>
          <w:sz w:val="32"/>
          <w:szCs w:val="32"/>
        </w:rPr>
        <w:t xml:space="preserve">  </w:t>
      </w:r>
      <w:r>
        <w:rPr>
          <w:rFonts w:hint="eastAsia" w:ascii="仿宋_GB2312" w:hAnsi="仿宋" w:eastAsia="仿宋_GB2312"/>
          <w:sz w:val="32"/>
          <w:szCs w:val="32"/>
        </w:rPr>
        <w:t>国务院核安全监管部门对提交的材料进行审核，自收到材料之日起5个工作日内确认申请人员考试资格。</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黑体" w:hAnsi="黑体" w:eastAsia="黑体"/>
          <w:sz w:val="32"/>
          <w:szCs w:val="32"/>
        </w:rPr>
        <w:t xml:space="preserve">第十二条 </w:t>
      </w:r>
      <w:r>
        <w:rPr>
          <w:rFonts w:hint="eastAsia" w:ascii="仿宋_GB2312" w:hAnsi="仿宋" w:eastAsia="仿宋_GB2312"/>
          <w:b/>
          <w:bCs/>
          <w:sz w:val="32"/>
          <w:szCs w:val="32"/>
        </w:rPr>
        <w:t xml:space="preserve"> </w:t>
      </w:r>
      <w:r>
        <w:rPr>
          <w:rFonts w:hint="eastAsia" w:ascii="仿宋_GB2312" w:hAnsi="仿宋" w:eastAsia="仿宋_GB2312"/>
          <w:sz w:val="32"/>
          <w:szCs w:val="32"/>
        </w:rPr>
        <w:t>首次参加资格考核的申请人员应当通过理论考试和相应焊接方法的操作考试。参加增加焊接方法资格考核的申请人员只需要进行相应焊接方法的操作考试。</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理论考试主要考查申请人员对核设施系统基本知识，核安全设备及质量保证相关知识，核安全文化，焊接工艺、设备、材料等焊接基本知识的理解和掌握程度。</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操作考试主要考查申请人员按照焊接工艺规程及过程质量控制要求熟练地焊接规定的试件</w:t>
      </w:r>
      <w:r>
        <w:rPr>
          <w:rFonts w:hint="eastAsia" w:ascii="仿宋_GB2312" w:hAnsi="仿宋" w:eastAsia="仿宋_GB2312" w:cs="宋体"/>
          <w:sz w:val="32"/>
          <w:szCs w:val="32"/>
        </w:rPr>
        <w:t>并获得合格焊接接头的能力</w:t>
      </w:r>
      <w:r>
        <w:rPr>
          <w:rFonts w:hint="eastAsia" w:ascii="仿宋_GB2312" w:hAnsi="仿宋" w:eastAsia="仿宋_GB2312"/>
          <w:sz w:val="32"/>
          <w:szCs w:val="32"/>
        </w:rPr>
        <w:t>。</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黑体" w:hAnsi="黑体" w:eastAsia="黑体"/>
          <w:sz w:val="32"/>
          <w:szCs w:val="32"/>
        </w:rPr>
        <w:t xml:space="preserve">第十三条 </w:t>
      </w:r>
      <w:r>
        <w:rPr>
          <w:rFonts w:hint="eastAsia" w:ascii="仿宋_GB2312" w:hAnsi="仿宋" w:eastAsia="仿宋_GB2312"/>
          <w:b/>
          <w:bCs/>
          <w:sz w:val="32"/>
          <w:szCs w:val="32"/>
        </w:rPr>
        <w:t xml:space="preserve"> </w:t>
      </w:r>
      <w:r>
        <w:rPr>
          <w:rFonts w:hint="eastAsia" w:ascii="仿宋_GB2312" w:hAnsi="仿宋" w:eastAsia="仿宋_GB2312"/>
          <w:sz w:val="32"/>
          <w:szCs w:val="32"/>
        </w:rPr>
        <w:t>所有考试成绩均达到合格标准视为资格考核合格。</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考试成绩未达到合格标准的，可在考试结束日的次日起1年内至多补考两次，补考仍未合格的，视为本次考核不合格。</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黑体" w:hAnsi="黑体" w:eastAsia="黑体"/>
          <w:sz w:val="32"/>
          <w:szCs w:val="32"/>
        </w:rPr>
        <w:t xml:space="preserve">第十四条 </w:t>
      </w:r>
      <w:r>
        <w:rPr>
          <w:rFonts w:hint="eastAsia" w:ascii="仿宋_GB2312" w:hAnsi="仿宋" w:eastAsia="仿宋_GB2312"/>
          <w:b/>
          <w:bCs/>
          <w:sz w:val="32"/>
          <w:szCs w:val="32"/>
        </w:rPr>
        <w:t xml:space="preserve"> </w:t>
      </w:r>
      <w:r>
        <w:rPr>
          <w:rFonts w:hint="eastAsia" w:ascii="仿宋_GB2312" w:hAnsi="仿宋" w:eastAsia="仿宋_GB2312"/>
          <w:sz w:val="32"/>
          <w:szCs w:val="32"/>
        </w:rPr>
        <w:t>国务院核安全监管部门收到考核单位的考试结果报告之日起20个工作日内完成审查，作出是否授予资格的决定。</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资格证书由国务院核安全监管部门自授予资格决定之日起10个工作日内向合格的人员颁发。</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黑体" w:hAnsi="黑体" w:eastAsia="黑体"/>
          <w:sz w:val="32"/>
          <w:szCs w:val="32"/>
        </w:rPr>
        <w:t xml:space="preserve">第十五条 </w:t>
      </w:r>
      <w:r>
        <w:rPr>
          <w:rFonts w:hint="eastAsia" w:ascii="仿宋_GB2312" w:hAnsi="仿宋" w:eastAsia="仿宋_GB2312"/>
          <w:b/>
          <w:bCs/>
          <w:sz w:val="32"/>
          <w:szCs w:val="32"/>
        </w:rPr>
        <w:t xml:space="preserve"> </w:t>
      </w:r>
      <w:r>
        <w:rPr>
          <w:rFonts w:hint="eastAsia" w:ascii="仿宋_GB2312" w:hAnsi="仿宋" w:eastAsia="仿宋_GB2312"/>
          <w:sz w:val="32"/>
          <w:szCs w:val="32"/>
        </w:rPr>
        <w:t>资格证书包括下列主要内容：</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（一）人员姓名、身份证号及聘用单位；</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（二）焊接方法；</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（三）有效期限；</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（四）证书编号。</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黑体" w:hAnsi="黑体" w:eastAsia="黑体"/>
          <w:sz w:val="32"/>
          <w:szCs w:val="32"/>
        </w:rPr>
        <w:t xml:space="preserve">第十六条 </w:t>
      </w:r>
      <w:r>
        <w:rPr>
          <w:rFonts w:hint="eastAsia" w:ascii="仿宋_GB2312" w:hAnsi="仿宋" w:eastAsia="仿宋_GB2312"/>
          <w:bCs/>
          <w:sz w:val="32"/>
          <w:szCs w:val="32"/>
        </w:rPr>
        <w:t xml:space="preserve"> </w:t>
      </w:r>
      <w:r>
        <w:rPr>
          <w:rFonts w:hint="eastAsia" w:ascii="仿宋_GB2312" w:hAnsi="仿宋" w:eastAsia="仿宋_GB2312"/>
          <w:sz w:val="32"/>
          <w:szCs w:val="32"/>
        </w:rPr>
        <w:t>资格证书的有效期限为5年。</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黑体" w:hAnsi="黑体" w:eastAsia="黑体"/>
          <w:sz w:val="32"/>
          <w:szCs w:val="32"/>
        </w:rPr>
        <w:t xml:space="preserve">第十七条 </w:t>
      </w:r>
      <w:r>
        <w:rPr>
          <w:rFonts w:hint="eastAsia" w:ascii="仿宋_GB2312" w:hAnsi="仿宋" w:eastAsia="仿宋_GB2312"/>
          <w:b/>
          <w:bCs/>
          <w:sz w:val="32"/>
          <w:szCs w:val="32"/>
        </w:rPr>
        <w:t xml:space="preserve"> </w:t>
      </w:r>
      <w:r>
        <w:rPr>
          <w:rFonts w:hint="eastAsia" w:ascii="仿宋_GB2312" w:hAnsi="仿宋" w:eastAsia="仿宋_GB2312"/>
          <w:sz w:val="32"/>
          <w:szCs w:val="32"/>
        </w:rPr>
        <w:t>资格证书有效期届满拟继续从事焊接活动的人员，应当在证书有效期届满6个月前，由聘用单位组织向国务院核安全监管部门提出延续申请，并提交下列材料：</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（一）申请表；</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（二）二级及以上医院出具的视力检查结果；</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（三）资格证书有效期内从事焊接活动的工作记录和业绩情况。</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黑体" w:hAnsi="黑体" w:eastAsia="黑体"/>
          <w:sz w:val="32"/>
          <w:szCs w:val="32"/>
        </w:rPr>
        <w:t xml:space="preserve">第十八条 </w:t>
      </w:r>
      <w:r>
        <w:rPr>
          <w:rFonts w:hint="eastAsia" w:ascii="仿宋_GB2312" w:hAnsi="仿宋" w:eastAsia="仿宋_GB2312"/>
          <w:b/>
          <w:bCs/>
          <w:sz w:val="32"/>
          <w:szCs w:val="32"/>
        </w:rPr>
        <w:t xml:space="preserve"> </w:t>
      </w:r>
      <w:r>
        <w:rPr>
          <w:rFonts w:hint="eastAsia" w:ascii="仿宋_GB2312" w:hAnsi="仿宋" w:eastAsia="仿宋_GB2312"/>
          <w:sz w:val="32"/>
          <w:szCs w:val="32"/>
        </w:rPr>
        <w:t>对资格证书有效期内焊接活动工作记录和业绩良好的，由国务院核安全监管部门作出准予延续的决定，资格证书有效期延续5年。对资格证书有效期内从事焊接活动不符合国务院核安全监管部门有关工作记录和业绩管理要求的，不予延续，需要重新申领资格证书。</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黑体" w:hAnsi="黑体" w:eastAsia="黑体"/>
          <w:sz w:val="32"/>
          <w:szCs w:val="32"/>
        </w:rPr>
        <w:t xml:space="preserve">第十九条 </w:t>
      </w:r>
      <w:r>
        <w:rPr>
          <w:rFonts w:hint="eastAsia" w:ascii="仿宋_GB2312" w:hAnsi="仿宋" w:eastAsia="仿宋_GB2312"/>
          <w:b/>
          <w:bCs/>
          <w:sz w:val="32"/>
          <w:szCs w:val="32"/>
        </w:rPr>
        <w:t xml:space="preserve"> </w:t>
      </w:r>
      <w:r>
        <w:rPr>
          <w:rFonts w:hint="eastAsia" w:ascii="仿宋_GB2312" w:hAnsi="仿宋" w:eastAsia="仿宋_GB2312"/>
          <w:sz w:val="32"/>
          <w:szCs w:val="32"/>
        </w:rPr>
        <w:t>已取得国外相关资格证书的境外单位焊接人员，需经国务院核安全监管部门核准后，方可在中华人民共和国境内从事焊接活动。</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黑体" w:hAnsi="黑体" w:eastAsia="黑体"/>
          <w:sz w:val="32"/>
          <w:szCs w:val="32"/>
        </w:rPr>
        <w:t xml:space="preserve">第二十条 </w:t>
      </w:r>
      <w:r>
        <w:rPr>
          <w:rFonts w:hint="eastAsia" w:ascii="仿宋_GB2312" w:hAnsi="黑体" w:eastAsia="仿宋_GB2312"/>
          <w:bCs/>
          <w:sz w:val="32"/>
          <w:szCs w:val="32"/>
        </w:rPr>
        <w:t xml:space="preserve"> </w:t>
      </w:r>
      <w:r>
        <w:rPr>
          <w:rFonts w:hint="eastAsia" w:ascii="仿宋_GB2312" w:hAnsi="仿宋" w:eastAsia="仿宋_GB2312"/>
          <w:sz w:val="32"/>
          <w:szCs w:val="32"/>
        </w:rPr>
        <w:t>申请核准的境外单位焊接人员，应当由聘用单位组织提交下列材料：</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（一）持有的资格证书；</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（二）相关核安全设备焊接活动业绩；</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（三）未发生过责任事故、重大技术失误的书面说明材料；</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（四）境内焊接活动需求材料。</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p>
    <w:p>
      <w:pPr>
        <w:keepNext w:val="0"/>
        <w:keepLines w:val="0"/>
        <w:pageBreakBefore w:val="0"/>
        <w:numPr>
          <w:ilvl w:val="0"/>
          <w:numId w:val="1"/>
        </w:numPr>
        <w:kinsoku/>
        <w:wordWrap/>
        <w:overflowPunct/>
        <w:topLinePunct w:val="0"/>
        <w:autoSpaceDE/>
        <w:autoSpaceDN/>
        <w:bidi w:val="0"/>
        <w:adjustRightInd w:val="0"/>
        <w:snapToGrid w:val="0"/>
        <w:spacing w:line="336" w:lineRule="auto"/>
        <w:ind w:left="0" w:leftChars="0" w:firstLine="0" w:firstLineChars="0"/>
        <w:jc w:val="center"/>
        <w:textAlignment w:val="auto"/>
        <w:rPr>
          <w:rFonts w:hint="eastAsia" w:ascii="黑体" w:hAnsi="黑体" w:eastAsia="黑体"/>
          <w:sz w:val="32"/>
          <w:szCs w:val="32"/>
        </w:rPr>
      </w:pPr>
      <w:r>
        <w:rPr>
          <w:rFonts w:hint="eastAsia" w:ascii="黑体" w:hAnsi="黑体" w:eastAsia="黑体"/>
          <w:sz w:val="32"/>
          <w:szCs w:val="32"/>
        </w:rPr>
        <w:t xml:space="preserve"> 监督管理</w:t>
      </w:r>
    </w:p>
    <w:p>
      <w:pPr>
        <w:keepNext w:val="0"/>
        <w:keepLines w:val="0"/>
        <w:pageBreakBefore w:val="0"/>
        <w:numPr>
          <w:numId w:val="0"/>
        </w:numPr>
        <w:kinsoku/>
        <w:wordWrap/>
        <w:overflowPunct/>
        <w:topLinePunct w:val="0"/>
        <w:autoSpaceDE/>
        <w:autoSpaceDN/>
        <w:bidi w:val="0"/>
        <w:adjustRightInd w:val="0"/>
        <w:snapToGrid w:val="0"/>
        <w:spacing w:line="336" w:lineRule="auto"/>
        <w:ind w:leftChars="0"/>
        <w:jc w:val="both"/>
        <w:textAlignment w:val="auto"/>
        <w:rPr>
          <w:rFonts w:hint="eastAsia" w:ascii="黑体" w:hAnsi="黑体" w:eastAsia="黑体"/>
          <w:sz w:val="32"/>
          <w:szCs w:val="32"/>
        </w:rPr>
      </w:pP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黑体" w:hAnsi="黑体" w:eastAsia="黑体"/>
          <w:sz w:val="32"/>
          <w:szCs w:val="32"/>
        </w:rPr>
        <w:t xml:space="preserve">第二十一条 </w:t>
      </w:r>
      <w:r>
        <w:rPr>
          <w:rFonts w:hint="eastAsia" w:ascii="仿宋_GB2312" w:hAnsi="仿宋" w:eastAsia="仿宋_GB2312"/>
          <w:b/>
          <w:sz w:val="32"/>
          <w:szCs w:val="32"/>
        </w:rPr>
        <w:t xml:space="preserve"> </w:t>
      </w:r>
      <w:r>
        <w:rPr>
          <w:rFonts w:hint="eastAsia" w:ascii="仿宋_GB2312" w:hAnsi="仿宋" w:eastAsia="仿宋_GB2312"/>
          <w:sz w:val="32"/>
          <w:szCs w:val="32"/>
        </w:rPr>
        <w:t>聘用单位应当对申请人员相关申请材料进行核实，确保材料真实、准确，没有隐瞒。</w:t>
      </w:r>
    </w:p>
    <w:p>
      <w:pPr>
        <w:keepNext w:val="0"/>
        <w:keepLines w:val="0"/>
        <w:pageBreakBefore w:val="0"/>
        <w:tabs>
          <w:tab w:val="left" w:pos="2520"/>
        </w:tabs>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黑体" w:hAnsi="黑体" w:eastAsia="黑体"/>
          <w:sz w:val="32"/>
          <w:szCs w:val="32"/>
        </w:rPr>
        <w:t xml:space="preserve">第二十二条  </w:t>
      </w:r>
      <w:r>
        <w:rPr>
          <w:rFonts w:hint="eastAsia" w:ascii="仿宋_GB2312" w:hAnsi="仿宋" w:eastAsia="仿宋_GB2312"/>
          <w:sz w:val="32"/>
          <w:szCs w:val="32"/>
        </w:rPr>
        <w:t>聘用单位应当对本单位焊接人员进行培训和岗位管理，按照民用核安全设备标准和技术要求实施焊接人员技能评定，合格后进行授权，并做好焊接人员连续操作记录管理。</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黑体" w:hAnsi="黑体" w:eastAsia="黑体"/>
          <w:sz w:val="32"/>
          <w:szCs w:val="32"/>
        </w:rPr>
        <w:t xml:space="preserve">第二十三条  </w:t>
      </w:r>
      <w:r>
        <w:rPr>
          <w:rFonts w:hint="eastAsia" w:ascii="仿宋_GB2312" w:hAnsi="仿宋" w:eastAsia="仿宋_GB2312"/>
          <w:sz w:val="32"/>
          <w:szCs w:val="32"/>
        </w:rPr>
        <w:t>焊接人员应当按照焊接工艺规程开展焊接活动，遵守从业操守，提高知识技能，严格尽职履责。</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黑体" w:hAnsi="黑体" w:eastAsia="黑体"/>
          <w:sz w:val="32"/>
          <w:szCs w:val="32"/>
        </w:rPr>
        <w:t xml:space="preserve">第二十四条  </w:t>
      </w:r>
      <w:r>
        <w:rPr>
          <w:rFonts w:hint="eastAsia" w:ascii="仿宋_GB2312" w:hAnsi="仿宋" w:eastAsia="仿宋_GB2312"/>
          <w:sz w:val="32"/>
          <w:szCs w:val="32"/>
        </w:rPr>
        <w:t>焊接人员一般应当固定在一个单位执业，确需在两个单位执业的，应当报国务院核安全监管部门备案。</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焊接人员变更聘用单位的，应当由其聘用单位向国务院核安全监管部门提出资格证书变更申请，经审查同意后更换新的资格证书。变更后的资格证书有效期适用原资格证书有效期，原资格证书失效。</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黑体" w:hAnsi="黑体" w:eastAsia="黑体"/>
          <w:sz w:val="32"/>
          <w:szCs w:val="32"/>
        </w:rPr>
        <w:t xml:space="preserve">第二十五条  </w:t>
      </w:r>
      <w:r>
        <w:rPr>
          <w:rFonts w:hint="eastAsia" w:ascii="仿宋_GB2312" w:hAnsi="仿宋" w:eastAsia="仿宋_GB2312"/>
          <w:sz w:val="32"/>
          <w:szCs w:val="32"/>
        </w:rPr>
        <w:t>任何单位和个人不得伪造、变造或者买卖资格证书。</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黑体" w:hAnsi="黑体" w:eastAsia="黑体"/>
          <w:sz w:val="32"/>
          <w:szCs w:val="32"/>
        </w:rPr>
        <w:t xml:space="preserve">第二十六条  </w:t>
      </w:r>
      <w:r>
        <w:rPr>
          <w:rFonts w:hint="eastAsia" w:ascii="仿宋_GB2312" w:hAnsi="仿宋" w:eastAsia="仿宋_GB2312"/>
          <w:sz w:val="32"/>
          <w:szCs w:val="32"/>
        </w:rPr>
        <w:t>考核单位应当建立健全考核管理制度，配备与拟从事的资格考核活动相适应的考核场所、档案室、焊接设备和仪器，具有相应的专业技术人员和管理人员。</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考核工作人员应当严格按照考核管理规定实施资格考核，保证考核的公正公平。</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黑体" w:hAnsi="黑体" w:eastAsia="黑体"/>
          <w:sz w:val="32"/>
          <w:szCs w:val="32"/>
        </w:rPr>
        <w:t xml:space="preserve">第二十七条  </w:t>
      </w:r>
      <w:r>
        <w:rPr>
          <w:rFonts w:hint="eastAsia" w:ascii="仿宋_GB2312" w:hAnsi="仿宋" w:eastAsia="仿宋_GB2312"/>
          <w:sz w:val="32"/>
          <w:szCs w:val="32"/>
        </w:rPr>
        <w:t>考核单位应当建立并管理焊接人员考试档案。考试档案的保存期限为10年。</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黑体" w:hAnsi="黑体" w:eastAsia="黑体"/>
          <w:sz w:val="32"/>
          <w:szCs w:val="32"/>
        </w:rPr>
        <w:t xml:space="preserve">第二十八条 </w:t>
      </w:r>
      <w:r>
        <w:rPr>
          <w:rFonts w:hint="eastAsia" w:ascii="仿宋_GB2312" w:hAnsi="黑体" w:eastAsia="仿宋_GB2312"/>
          <w:bCs/>
          <w:sz w:val="32"/>
          <w:szCs w:val="32"/>
        </w:rPr>
        <w:t xml:space="preserve"> </w:t>
      </w:r>
      <w:r>
        <w:rPr>
          <w:rFonts w:hint="eastAsia" w:ascii="仿宋_GB2312" w:hAnsi="仿宋" w:eastAsia="仿宋_GB2312"/>
          <w:sz w:val="32"/>
          <w:szCs w:val="32"/>
        </w:rPr>
        <w:t>焊接人员资格管理中相关违法信息由国务院核安全监管部门记入社会诚信档案，及时向社会公开。</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黑体" w:hAnsi="黑体" w:eastAsia="黑体"/>
          <w:sz w:val="32"/>
          <w:szCs w:val="32"/>
        </w:rPr>
        <w:t xml:space="preserve">第二十九条 </w:t>
      </w:r>
      <w:r>
        <w:rPr>
          <w:rFonts w:hint="eastAsia" w:ascii="仿宋_GB2312" w:hAnsi="仿宋" w:eastAsia="仿宋_GB2312"/>
          <w:b/>
          <w:bCs/>
          <w:sz w:val="32"/>
          <w:szCs w:val="32"/>
        </w:rPr>
        <w:t xml:space="preserve"> </w:t>
      </w:r>
      <w:r>
        <w:rPr>
          <w:rFonts w:hint="eastAsia" w:ascii="仿宋_GB2312" w:hAnsi="仿宋" w:eastAsia="仿宋_GB2312"/>
          <w:sz w:val="32"/>
          <w:szCs w:val="32"/>
        </w:rPr>
        <w:t>对国务院核安全监管部门依法进行的监督检查，</w:t>
      </w:r>
      <w:r>
        <w:rPr>
          <w:rFonts w:hint="eastAsia" w:ascii="仿宋_GB2312" w:hAnsi="仿宋" w:eastAsia="仿宋_GB2312"/>
          <w:bCs/>
          <w:sz w:val="32"/>
          <w:szCs w:val="32"/>
        </w:rPr>
        <w:t>被检查单位和人员</w:t>
      </w:r>
      <w:r>
        <w:rPr>
          <w:rFonts w:hint="eastAsia" w:ascii="仿宋_GB2312" w:hAnsi="仿宋" w:eastAsia="仿宋_GB2312"/>
          <w:sz w:val="32"/>
          <w:szCs w:val="32"/>
        </w:rPr>
        <w:t>应当予以配合，如实反映情况，提供必要资料，不得拒绝和阻碍。</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p>
    <w:p>
      <w:pPr>
        <w:keepNext w:val="0"/>
        <w:keepLines w:val="0"/>
        <w:pageBreakBefore w:val="0"/>
        <w:numPr>
          <w:ilvl w:val="0"/>
          <w:numId w:val="1"/>
        </w:numPr>
        <w:kinsoku/>
        <w:wordWrap/>
        <w:overflowPunct/>
        <w:topLinePunct w:val="0"/>
        <w:autoSpaceDE/>
        <w:autoSpaceDN/>
        <w:bidi w:val="0"/>
        <w:adjustRightInd w:val="0"/>
        <w:snapToGrid w:val="0"/>
        <w:spacing w:line="336" w:lineRule="auto"/>
        <w:ind w:left="0" w:leftChars="0" w:firstLine="0" w:firstLineChars="0"/>
        <w:jc w:val="center"/>
        <w:textAlignment w:val="auto"/>
        <w:rPr>
          <w:rFonts w:hint="eastAsia" w:ascii="黑体" w:hAnsi="黑体" w:eastAsia="黑体"/>
          <w:sz w:val="32"/>
          <w:szCs w:val="32"/>
        </w:rPr>
      </w:pPr>
      <w:r>
        <w:rPr>
          <w:rFonts w:hint="eastAsia" w:ascii="黑体" w:hAnsi="黑体" w:eastAsia="黑体"/>
          <w:sz w:val="32"/>
          <w:szCs w:val="32"/>
        </w:rPr>
        <w:t xml:space="preserve"> 法律责任</w:t>
      </w:r>
    </w:p>
    <w:p>
      <w:pPr>
        <w:keepNext w:val="0"/>
        <w:keepLines w:val="0"/>
        <w:pageBreakBefore w:val="0"/>
        <w:numPr>
          <w:numId w:val="0"/>
        </w:numPr>
        <w:kinsoku/>
        <w:wordWrap/>
        <w:overflowPunct/>
        <w:topLinePunct w:val="0"/>
        <w:autoSpaceDE/>
        <w:autoSpaceDN/>
        <w:bidi w:val="0"/>
        <w:adjustRightInd w:val="0"/>
        <w:snapToGrid w:val="0"/>
        <w:spacing w:line="336" w:lineRule="auto"/>
        <w:ind w:leftChars="0"/>
        <w:jc w:val="both"/>
        <w:textAlignment w:val="auto"/>
        <w:rPr>
          <w:rFonts w:hint="eastAsia" w:ascii="黑体" w:hAnsi="黑体" w:eastAsia="黑体"/>
          <w:sz w:val="32"/>
          <w:szCs w:val="32"/>
        </w:rPr>
      </w:pP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bCs/>
          <w:color w:val="FF0000"/>
          <w:sz w:val="32"/>
          <w:szCs w:val="32"/>
        </w:rPr>
      </w:pPr>
      <w:r>
        <w:rPr>
          <w:rFonts w:hint="eastAsia" w:ascii="黑体" w:hAnsi="黑体" w:eastAsia="黑体"/>
          <w:sz w:val="32"/>
          <w:szCs w:val="32"/>
        </w:rPr>
        <w:t>第三十条</w:t>
      </w:r>
      <w:r>
        <w:rPr>
          <w:rFonts w:hint="eastAsia" w:ascii="仿宋_GB2312" w:hAnsi="仿宋" w:eastAsia="仿宋_GB2312"/>
          <w:b/>
          <w:bCs/>
          <w:sz w:val="32"/>
          <w:szCs w:val="32"/>
        </w:rPr>
        <w:t xml:space="preserve">  </w:t>
      </w:r>
      <w:r>
        <w:rPr>
          <w:rFonts w:hint="eastAsia" w:ascii="仿宋_GB2312" w:hAnsi="仿宋" w:eastAsia="仿宋_GB2312"/>
          <w:sz w:val="32"/>
          <w:szCs w:val="32"/>
        </w:rPr>
        <w:t>焊接人员违反相关法律法规和国家相关规定的，由国务院核安全监管部门根据情节严重程度依法分类予以处罚。</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黑体" w:hAnsi="黑体" w:eastAsia="黑体"/>
          <w:sz w:val="32"/>
          <w:szCs w:val="32"/>
        </w:rPr>
        <w:t xml:space="preserve">第三十一条 </w:t>
      </w:r>
      <w:r>
        <w:rPr>
          <w:rFonts w:hint="eastAsia" w:ascii="仿宋_GB2312" w:hAnsi="仿宋" w:eastAsia="仿宋_GB2312"/>
          <w:b/>
          <w:bCs/>
          <w:sz w:val="32"/>
          <w:szCs w:val="32"/>
        </w:rPr>
        <w:t xml:space="preserve"> </w:t>
      </w:r>
      <w:r>
        <w:rPr>
          <w:rFonts w:hint="eastAsia" w:ascii="仿宋_GB2312" w:hAnsi="仿宋" w:eastAsia="仿宋_GB2312"/>
          <w:sz w:val="32"/>
          <w:szCs w:val="32"/>
        </w:rPr>
        <w:t>申请人员隐瞒有关情况或者提供虚假材料的，国务院核安全监管部门不予受理或者不予许可，并给予警告；申请人员1年内不得再次申请资格考核。</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黑体" w:hAnsi="黑体" w:eastAsia="黑体"/>
          <w:sz w:val="32"/>
          <w:szCs w:val="32"/>
        </w:rPr>
        <w:t xml:space="preserve">第三十二条 </w:t>
      </w:r>
      <w:r>
        <w:rPr>
          <w:rFonts w:hint="eastAsia" w:ascii="仿宋_GB2312" w:hAnsi="仿宋" w:eastAsia="仿宋_GB2312"/>
          <w:b/>
          <w:bCs/>
          <w:sz w:val="32"/>
          <w:szCs w:val="32"/>
        </w:rPr>
        <w:t xml:space="preserve"> </w:t>
      </w:r>
      <w:r>
        <w:rPr>
          <w:rFonts w:hint="eastAsia" w:ascii="仿宋_GB2312" w:hAnsi="仿宋" w:eastAsia="仿宋_GB2312"/>
          <w:sz w:val="32"/>
          <w:szCs w:val="32"/>
        </w:rPr>
        <w:t>焊接人员以欺骗、贿赂等不正当手段取得资格证书的，由国务院核安全监管部门撤销其资格证书，3年内不得再次申请资格考核；构成犯罪的，依法追究刑事责任。</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黑体" w:hAnsi="黑体" w:eastAsia="黑体"/>
          <w:sz w:val="32"/>
          <w:szCs w:val="32"/>
        </w:rPr>
        <w:t xml:space="preserve">第三十三条 </w:t>
      </w:r>
      <w:r>
        <w:rPr>
          <w:rFonts w:hint="eastAsia" w:ascii="仿宋_GB2312" w:hAnsi="仿宋" w:eastAsia="仿宋_GB2312"/>
          <w:b/>
          <w:bCs/>
          <w:sz w:val="32"/>
          <w:szCs w:val="32"/>
        </w:rPr>
        <w:t xml:space="preserve"> </w:t>
      </w:r>
      <w:r>
        <w:rPr>
          <w:rFonts w:hint="eastAsia" w:ascii="仿宋_GB2312" w:hAnsi="仿宋" w:eastAsia="仿宋_GB2312"/>
          <w:sz w:val="32"/>
          <w:szCs w:val="32"/>
        </w:rPr>
        <w:t>焊接人员违反焊接工艺规程导致严重焊接质量问题的，依据《民用核安全设备监督管理条例》的相关规定，由国务院核安全监管部门吊销其资格证书。</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黑体" w:hAnsi="黑体" w:eastAsia="黑体"/>
          <w:sz w:val="32"/>
          <w:szCs w:val="32"/>
        </w:rPr>
        <w:t xml:space="preserve">第三十四条 </w:t>
      </w:r>
      <w:r>
        <w:rPr>
          <w:rFonts w:hint="eastAsia" w:ascii="仿宋_GB2312" w:hAnsi="仿宋" w:eastAsia="仿宋_GB2312"/>
          <w:b/>
          <w:bCs/>
          <w:sz w:val="32"/>
          <w:szCs w:val="32"/>
        </w:rPr>
        <w:t xml:space="preserve"> </w:t>
      </w:r>
      <w:r>
        <w:rPr>
          <w:rFonts w:hint="eastAsia" w:ascii="仿宋_GB2312" w:hAnsi="仿宋" w:eastAsia="仿宋_GB2312"/>
          <w:sz w:val="32"/>
          <w:szCs w:val="32"/>
        </w:rPr>
        <w:t>伪造、变造或者买卖资格证书的，依据《中华人民共和国治安管理处罚法》的相关规定予以处罚；构成犯罪的，依法追究刑事责任。</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黑体" w:hAnsi="黑体" w:eastAsia="黑体"/>
          <w:sz w:val="32"/>
          <w:szCs w:val="32"/>
        </w:rPr>
        <w:t xml:space="preserve">第三十五条 </w:t>
      </w:r>
      <w:r>
        <w:rPr>
          <w:rFonts w:hint="eastAsia" w:ascii="仿宋_GB2312" w:hAnsi="黑体" w:eastAsia="仿宋_GB2312"/>
          <w:bCs/>
          <w:sz w:val="32"/>
          <w:szCs w:val="32"/>
        </w:rPr>
        <w:t xml:space="preserve"> </w:t>
      </w:r>
      <w:r>
        <w:rPr>
          <w:rFonts w:hint="eastAsia" w:ascii="仿宋_GB2312" w:hAnsi="仿宋" w:eastAsia="仿宋_GB2312"/>
          <w:sz w:val="32"/>
          <w:szCs w:val="32"/>
        </w:rPr>
        <w:t>聘用单位聘用未取得相应资格证书的焊接人员从事焊接活动的，依据《中华人民共和国核安全法》的相关规定，由国务院核安全监管部门责令改正，处10万元以上50万元以下的罚款；拒不改正的，暂扣或者吊销许可证，对直接负责的主管人员和其他直接责任人员处2万元以上10万元以下的罚款。</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黑体" w:hAnsi="黑体" w:eastAsia="黑体"/>
          <w:sz w:val="32"/>
          <w:szCs w:val="32"/>
        </w:rPr>
        <w:t xml:space="preserve">第三十六条 </w:t>
      </w:r>
      <w:r>
        <w:rPr>
          <w:rFonts w:hint="eastAsia" w:ascii="仿宋_GB2312" w:hAnsi="仿宋" w:eastAsia="仿宋_GB2312"/>
          <w:b/>
          <w:bCs/>
          <w:sz w:val="32"/>
          <w:szCs w:val="32"/>
        </w:rPr>
        <w:t xml:space="preserve"> </w:t>
      </w:r>
      <w:r>
        <w:rPr>
          <w:rFonts w:hint="eastAsia" w:ascii="仿宋_GB2312" w:hAnsi="仿宋" w:eastAsia="仿宋_GB2312"/>
          <w:sz w:val="32"/>
          <w:szCs w:val="32"/>
        </w:rPr>
        <w:t>考核工作人员有下列行为之一的，由国务院核安全监管部门依据有关法律法规和国家相关规定予以处理：</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（一）以不正当手段协助他人取得考试资格或者取得相应证书的；</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（二）泄露考务实施工作中应当保密的信息的；</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（三）在评阅卷工作中，擅自更改评分标准或者不按评分标准进行评卷的；</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（四）指使或者纵容他人作弊，或者参与考场内外串通作弊的；</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（五）其他严重违纪违规行为。</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p>
    <w:p>
      <w:pPr>
        <w:keepNext w:val="0"/>
        <w:keepLines w:val="0"/>
        <w:pageBreakBefore w:val="0"/>
        <w:numPr>
          <w:ilvl w:val="0"/>
          <w:numId w:val="1"/>
        </w:numPr>
        <w:kinsoku/>
        <w:wordWrap/>
        <w:overflowPunct/>
        <w:topLinePunct w:val="0"/>
        <w:autoSpaceDE/>
        <w:autoSpaceDN/>
        <w:bidi w:val="0"/>
        <w:adjustRightInd w:val="0"/>
        <w:snapToGrid w:val="0"/>
        <w:spacing w:line="336" w:lineRule="auto"/>
        <w:ind w:left="0" w:leftChars="0" w:firstLine="0" w:firstLineChars="0"/>
        <w:jc w:val="center"/>
        <w:textAlignment w:val="auto"/>
        <w:rPr>
          <w:rFonts w:hint="eastAsia" w:ascii="黑体" w:hAnsi="黑体" w:eastAsia="黑体"/>
          <w:sz w:val="32"/>
          <w:szCs w:val="32"/>
        </w:rPr>
      </w:pPr>
      <w:r>
        <w:rPr>
          <w:rFonts w:hint="eastAsia" w:ascii="黑体" w:hAnsi="黑体" w:eastAsia="黑体"/>
          <w:sz w:val="32"/>
          <w:szCs w:val="32"/>
        </w:rPr>
        <w:t xml:space="preserve"> 附  则</w:t>
      </w:r>
    </w:p>
    <w:p>
      <w:pPr>
        <w:keepNext w:val="0"/>
        <w:keepLines w:val="0"/>
        <w:pageBreakBefore w:val="0"/>
        <w:numPr>
          <w:numId w:val="0"/>
        </w:numPr>
        <w:kinsoku/>
        <w:wordWrap/>
        <w:overflowPunct/>
        <w:topLinePunct w:val="0"/>
        <w:autoSpaceDE/>
        <w:autoSpaceDN/>
        <w:bidi w:val="0"/>
        <w:adjustRightInd w:val="0"/>
        <w:snapToGrid w:val="0"/>
        <w:spacing w:line="336" w:lineRule="auto"/>
        <w:ind w:leftChars="0"/>
        <w:jc w:val="both"/>
        <w:textAlignment w:val="auto"/>
        <w:rPr>
          <w:rFonts w:hint="eastAsia" w:ascii="黑体" w:hAnsi="黑体" w:eastAsia="黑体"/>
          <w:sz w:val="32"/>
          <w:szCs w:val="32"/>
        </w:rPr>
      </w:pP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黑体" w:hAnsi="黑体" w:eastAsia="黑体"/>
          <w:sz w:val="32"/>
          <w:szCs w:val="32"/>
        </w:rPr>
        <w:t xml:space="preserve">第三十七条 </w:t>
      </w:r>
      <w:r>
        <w:rPr>
          <w:rFonts w:hint="eastAsia" w:ascii="仿宋_GB2312" w:hAnsi="黑体" w:eastAsia="仿宋_GB2312"/>
          <w:bCs/>
          <w:sz w:val="32"/>
          <w:szCs w:val="32"/>
        </w:rPr>
        <w:t xml:space="preserve"> </w:t>
      </w:r>
      <w:r>
        <w:rPr>
          <w:rFonts w:hint="eastAsia" w:ascii="仿宋_GB2312" w:hAnsi="仿宋" w:eastAsia="仿宋_GB2312"/>
          <w:sz w:val="32"/>
          <w:szCs w:val="32"/>
        </w:rPr>
        <w:t>资格考核的具体内容和评定标准由国务院核安全监管部门制定发布。</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黑体" w:hAnsi="黑体" w:eastAsia="黑体"/>
          <w:sz w:val="32"/>
          <w:szCs w:val="32"/>
        </w:rPr>
        <w:t xml:space="preserve">第三十八条 </w:t>
      </w:r>
      <w:r>
        <w:rPr>
          <w:rFonts w:hint="eastAsia" w:ascii="仿宋_GB2312" w:hAnsi="仿宋" w:eastAsia="仿宋_GB2312"/>
          <w:sz w:val="32"/>
          <w:szCs w:val="32"/>
        </w:rPr>
        <w:t xml:space="preserve"> 考核单位不得开展影响资格考核公平、公正的培训活动，不得收取考试费用。</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sz w:val="32"/>
          <w:szCs w:val="32"/>
        </w:rPr>
        <w:t xml:space="preserve">第三十九条 </w:t>
      </w:r>
      <w:r>
        <w:rPr>
          <w:rFonts w:hint="eastAsia" w:ascii="仿宋_GB2312" w:hAnsi="仿宋" w:eastAsia="仿宋_GB2312"/>
          <w:sz w:val="32"/>
          <w:szCs w:val="32"/>
        </w:rPr>
        <w:t xml:space="preserve"> 本规定自2020年1月1日起施行。2007年12月28日原国家环境保护总局发布的《民用核安全设备焊工焊接操作工资格管理规定》（国家环境保护总局令第45号）同时废止</w:t>
      </w:r>
      <w:r>
        <w:rPr>
          <w:rFonts w:hint="eastAsia" w:ascii="仿宋_GB2312" w:hAnsi="仿宋" w:eastAsia="仿宋_GB2312"/>
          <w:sz w:val="32"/>
          <w:szCs w:val="32"/>
          <w:lang w:eastAsia="zh-CN"/>
        </w:rPr>
        <w:t>。</w:t>
      </w: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生态环境部发布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生态环境部</w:t>
    </w:r>
    <w:r>
      <w:rPr>
        <w:rFonts w:hint="eastAsia" w:ascii="宋体" w:hAnsi="宋体" w:eastAsia="宋体" w:cs="宋体"/>
        <w:b/>
        <w:bCs/>
        <w:color w:val="005192"/>
        <w:sz w:val="32"/>
        <w:szCs w:val="32"/>
        <w:lang w:val="en-US" w:eastAsia="zh-CN"/>
      </w:rPr>
      <w:t>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3B3F3"/>
    <w:multiLevelType w:val="singleLevel"/>
    <w:tmpl w:val="8883B3F3"/>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8F97771"/>
    <w:rsid w:val="09341458"/>
    <w:rsid w:val="0B0912D7"/>
    <w:rsid w:val="152D2DCA"/>
    <w:rsid w:val="19EF4A15"/>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5F35CAE"/>
    <w:rsid w:val="665233C1"/>
    <w:rsid w:val="6AD9688B"/>
    <w:rsid w:val="6D0E3F22"/>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总值班室</cp:lastModifiedBy>
  <cp:lastPrinted>2021-10-26T03:30:00Z</cp:lastPrinted>
  <dcterms:modified xsi:type="dcterms:W3CDTF">2021-12-23T12:55:55Z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48C61CB29D3F4D9384F5922CF0F7FFB4</vt:lpwstr>
  </property>
</Properties>
</file>